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027" w:rsidRPr="00D84027" w:rsidRDefault="00D84027" w:rsidP="00D84027">
      <w:pPr>
        <w:pStyle w:val="NormlWeb"/>
        <w:jc w:val="center"/>
        <w:rPr>
          <w:rStyle w:val="Kiemels2"/>
          <w:b w:val="0"/>
          <w:lang w:val="en-US"/>
        </w:rPr>
      </w:pPr>
      <w:r w:rsidRPr="00D84027">
        <w:rPr>
          <w:rStyle w:val="Kiemels2"/>
          <w:bCs w:val="0"/>
          <w:sz w:val="28"/>
          <w:szCs w:val="28"/>
          <w:lang w:val="en-US"/>
        </w:rPr>
        <w:t>Climate Change and Health</w:t>
      </w:r>
      <w:r w:rsidRPr="00D84027">
        <w:rPr>
          <w:rStyle w:val="Kiemels2"/>
          <w:bCs w:val="0"/>
          <w:sz w:val="28"/>
          <w:szCs w:val="28"/>
          <w:lang w:val="en-US"/>
        </w:rPr>
        <w:br/>
      </w:r>
      <w:r w:rsidRPr="00D84027">
        <w:rPr>
          <w:rStyle w:val="Kiemels2"/>
          <w:b w:val="0"/>
          <w:bCs w:val="0"/>
          <w:lang w:val="en-US"/>
        </w:rPr>
        <w:t>Course Syllabus</w:t>
      </w:r>
    </w:p>
    <w:p w:rsidR="00D84027" w:rsidRPr="00D84027" w:rsidRDefault="00D84027" w:rsidP="00D84027">
      <w:pPr>
        <w:pStyle w:val="NormlWeb"/>
        <w:spacing w:before="0" w:beforeAutospacing="0" w:after="200" w:afterAutospacing="0"/>
        <w:rPr>
          <w:rStyle w:val="Kiemels2"/>
          <w:lang w:val="en-US"/>
        </w:rPr>
      </w:pPr>
      <w:r w:rsidRPr="00D84027">
        <w:rPr>
          <w:rStyle w:val="Kiemels2"/>
          <w:lang w:val="en-US"/>
        </w:rPr>
        <w:t>Semester-long Lecture Series (14 Weeks)</w:t>
      </w:r>
    </w:p>
    <w:p w:rsidR="00D84027" w:rsidRPr="00D84027" w:rsidRDefault="00D84027" w:rsidP="00D84027">
      <w:pPr>
        <w:pStyle w:val="NormlWeb"/>
        <w:spacing w:before="0" w:beforeAutospacing="0" w:after="200" w:afterAutospacing="0"/>
        <w:rPr>
          <w:lang w:val="en-US"/>
        </w:rPr>
      </w:pPr>
      <w:r w:rsidRPr="00D84027">
        <w:rPr>
          <w:rStyle w:val="Kiemels2"/>
          <w:lang w:val="en-US"/>
        </w:rPr>
        <w:t>Language:</w:t>
      </w:r>
      <w:r w:rsidRPr="00D84027">
        <w:rPr>
          <w:lang w:val="en-US"/>
        </w:rPr>
        <w:t xml:space="preserve"> English </w:t>
      </w:r>
      <w:r w:rsidRPr="00D84027">
        <w:rPr>
          <w:rStyle w:val="Kiemels"/>
          <w:lang w:val="en-US"/>
        </w:rPr>
        <w:t>(optional – can be tailored)</w:t>
      </w:r>
    </w:p>
    <w:p w:rsidR="00D84027" w:rsidRPr="00D84027" w:rsidRDefault="00D84027" w:rsidP="00D84027">
      <w:pPr>
        <w:pStyle w:val="NormlWeb"/>
        <w:spacing w:before="0" w:beforeAutospacing="0" w:after="200" w:afterAutospacing="0"/>
        <w:rPr>
          <w:lang w:val="en-US"/>
        </w:rPr>
      </w:pPr>
      <w:r w:rsidRPr="00D84027">
        <w:rPr>
          <w:rStyle w:val="Kiemels2"/>
          <w:lang w:val="en-US"/>
        </w:rPr>
        <w:t>Level:</w:t>
      </w:r>
      <w:r w:rsidRPr="00D84027">
        <w:rPr>
          <w:lang w:val="en-US"/>
        </w:rPr>
        <w:t xml:space="preserve"> Graduate / Advanced undergraduate</w:t>
      </w:r>
    </w:p>
    <w:p w:rsidR="00D84027" w:rsidRPr="00D84027" w:rsidRDefault="00D84027" w:rsidP="00D84027">
      <w:pPr>
        <w:pStyle w:val="NormlWeb"/>
        <w:spacing w:before="0" w:beforeAutospacing="0" w:after="200" w:afterAutospacing="0"/>
        <w:rPr>
          <w:lang w:val="en-US"/>
        </w:rPr>
      </w:pPr>
      <w:r w:rsidRPr="00D84027">
        <w:rPr>
          <w:rStyle w:val="Kiemels2"/>
          <w:lang w:val="en-US"/>
        </w:rPr>
        <w:t>Course Length:</w:t>
      </w:r>
      <w:r w:rsidRPr="00D84027">
        <w:rPr>
          <w:lang w:val="en-US"/>
        </w:rPr>
        <w:t xml:space="preserve"> 1 semester (14 weeks)</w:t>
      </w:r>
    </w:p>
    <w:p w:rsidR="00D84027" w:rsidRPr="00D84027" w:rsidRDefault="00D84027" w:rsidP="00D84027">
      <w:pPr>
        <w:pStyle w:val="NormlWeb"/>
        <w:rPr>
          <w:lang w:val="en-US"/>
        </w:rPr>
      </w:pPr>
      <w:r w:rsidRPr="00D84027">
        <w:rPr>
          <w:rStyle w:val="Kiemels2"/>
          <w:lang w:val="en-US"/>
        </w:rPr>
        <w:t>Format:</w:t>
      </w:r>
      <w:r w:rsidRPr="00D84027">
        <w:rPr>
          <w:lang w:val="en-US"/>
        </w:rPr>
        <w:t xml:space="preserve"> Weekly lectures (1x90 min or 2x45 min)</w:t>
      </w:r>
    </w:p>
    <w:p w:rsidR="00B3635B" w:rsidRDefault="00B3635B" w:rsidP="00D84027">
      <w:pPr>
        <w:pStyle w:val="NormlWeb"/>
        <w:spacing w:before="0" w:beforeAutospacing="0" w:afterAutospacing="0"/>
        <w:rPr>
          <w:rStyle w:val="Kiemels2"/>
          <w:bCs w:val="0"/>
          <w:lang w:val="en-US"/>
        </w:rPr>
      </w:pPr>
    </w:p>
    <w:p w:rsidR="00D84027" w:rsidRPr="00D84027" w:rsidRDefault="00D84027" w:rsidP="00D84027">
      <w:pPr>
        <w:pStyle w:val="NormlWeb"/>
        <w:spacing w:before="0" w:beforeAutospacing="0" w:afterAutospacing="0"/>
        <w:rPr>
          <w:lang w:val="en-US"/>
        </w:rPr>
      </w:pPr>
      <w:r w:rsidRPr="00D84027">
        <w:rPr>
          <w:rStyle w:val="Kiemels2"/>
          <w:bCs w:val="0"/>
          <w:lang w:val="en-US"/>
        </w:rPr>
        <w:t>Course Description</w:t>
      </w:r>
    </w:p>
    <w:p w:rsidR="00D84027" w:rsidRPr="00D84027" w:rsidRDefault="00D84027" w:rsidP="00B3635B">
      <w:pPr>
        <w:pStyle w:val="NormlWeb"/>
        <w:spacing w:before="0" w:beforeAutospacing="0" w:after="400" w:afterAutospacing="0" w:line="276" w:lineRule="auto"/>
        <w:jc w:val="both"/>
        <w:rPr>
          <w:lang w:val="en-US"/>
        </w:rPr>
      </w:pPr>
      <w:r w:rsidRPr="00D84027">
        <w:rPr>
          <w:lang w:val="en-US"/>
        </w:rPr>
        <w:t>This course explores t</w:t>
      </w:r>
      <w:bookmarkStart w:id="0" w:name="_GoBack"/>
      <w:bookmarkEnd w:id="0"/>
      <w:r w:rsidRPr="00D84027">
        <w:rPr>
          <w:lang w:val="en-US"/>
        </w:rPr>
        <w:t>he multidimensional relationship between climate change and human health. Students will examine how rising temperatures, changing ecosystems, and extreme weather events affect various physiological systems, disease patterns, and health care delivery. Emphasis is placed on evidence-based understanding and critical thinking around climate-related health risks and responses.</w:t>
      </w:r>
    </w:p>
    <w:p w:rsidR="00D84027" w:rsidRPr="00D84027" w:rsidRDefault="00D84027" w:rsidP="00D84027">
      <w:pPr>
        <w:pStyle w:val="NormlWeb"/>
        <w:spacing w:before="0" w:beforeAutospacing="0" w:afterAutospacing="0"/>
        <w:rPr>
          <w:lang w:val="en-US"/>
        </w:rPr>
      </w:pPr>
      <w:r w:rsidRPr="00D84027">
        <w:rPr>
          <w:rStyle w:val="Kiemels2"/>
          <w:bCs w:val="0"/>
          <w:lang w:val="en-US"/>
        </w:rPr>
        <w:t>Learning Outcomes</w:t>
      </w:r>
    </w:p>
    <w:p w:rsidR="00D84027" w:rsidRPr="00D84027" w:rsidRDefault="00D84027" w:rsidP="00D84027">
      <w:pPr>
        <w:pStyle w:val="NormlWeb"/>
        <w:spacing w:before="0" w:beforeAutospacing="0" w:afterAutospacing="0"/>
        <w:rPr>
          <w:lang w:val="en-US"/>
        </w:rPr>
      </w:pPr>
      <w:r w:rsidRPr="00D84027">
        <w:rPr>
          <w:lang w:val="en-US"/>
        </w:rPr>
        <w:t>By the end of this course, students will be able to:</w:t>
      </w:r>
    </w:p>
    <w:p w:rsidR="00D84027" w:rsidRPr="00D84027" w:rsidRDefault="00D84027" w:rsidP="00D84027">
      <w:pPr>
        <w:pStyle w:val="NormlWeb"/>
        <w:numPr>
          <w:ilvl w:val="0"/>
          <w:numId w:val="2"/>
        </w:numPr>
        <w:spacing w:before="0" w:beforeAutospacing="0" w:afterAutospacing="0"/>
        <w:ind w:left="714" w:hanging="357"/>
        <w:rPr>
          <w:lang w:val="en-US"/>
        </w:rPr>
      </w:pPr>
      <w:r w:rsidRPr="00D84027">
        <w:rPr>
          <w:lang w:val="en-US"/>
        </w:rPr>
        <w:t>Identify and explain the physiological, mental and public health effects of climate change.</w:t>
      </w:r>
    </w:p>
    <w:p w:rsidR="00D84027" w:rsidRPr="00D84027" w:rsidRDefault="00D84027" w:rsidP="00D84027">
      <w:pPr>
        <w:pStyle w:val="NormlWeb"/>
        <w:numPr>
          <w:ilvl w:val="0"/>
          <w:numId w:val="2"/>
        </w:numPr>
        <w:spacing w:before="0" w:beforeAutospacing="0" w:afterAutospacing="0"/>
        <w:rPr>
          <w:lang w:val="en-US"/>
        </w:rPr>
      </w:pPr>
      <w:r w:rsidRPr="00D84027">
        <w:rPr>
          <w:lang w:val="en-US"/>
        </w:rPr>
        <w:t>Analyze the influence of climate change on various diseases and health conditions.</w:t>
      </w:r>
    </w:p>
    <w:p w:rsidR="00D84027" w:rsidRPr="00D84027" w:rsidRDefault="00D84027" w:rsidP="00D84027">
      <w:pPr>
        <w:pStyle w:val="NormlWeb"/>
        <w:numPr>
          <w:ilvl w:val="0"/>
          <w:numId w:val="2"/>
        </w:numPr>
        <w:spacing w:before="0" w:beforeAutospacing="0" w:afterAutospacing="0"/>
        <w:rPr>
          <w:lang w:val="en-US"/>
        </w:rPr>
      </w:pPr>
      <w:r w:rsidRPr="00D84027">
        <w:rPr>
          <w:lang w:val="en-US"/>
        </w:rPr>
        <w:t>Understand how vulnerable populations are disproportionately affected.</w:t>
      </w:r>
    </w:p>
    <w:p w:rsidR="00D84027" w:rsidRPr="00D84027" w:rsidRDefault="00D84027" w:rsidP="00D84027">
      <w:pPr>
        <w:pStyle w:val="NormlWeb"/>
        <w:numPr>
          <w:ilvl w:val="0"/>
          <w:numId w:val="2"/>
        </w:numPr>
        <w:spacing w:before="0" w:beforeAutospacing="0" w:afterAutospacing="0"/>
        <w:rPr>
          <w:lang w:val="en-US"/>
        </w:rPr>
      </w:pPr>
      <w:r w:rsidRPr="00D84027">
        <w:rPr>
          <w:lang w:val="en-US"/>
        </w:rPr>
        <w:t>Evaluate current and future challenges in clinical practice and health systems.</w:t>
      </w:r>
    </w:p>
    <w:p w:rsidR="00D84027" w:rsidRPr="00D84027" w:rsidRDefault="00D84027" w:rsidP="00D84027">
      <w:pPr>
        <w:pStyle w:val="NormlWeb"/>
        <w:numPr>
          <w:ilvl w:val="0"/>
          <w:numId w:val="2"/>
        </w:numPr>
        <w:spacing w:before="0" w:beforeAutospacing="0" w:afterAutospacing="0"/>
        <w:rPr>
          <w:lang w:val="en-US"/>
        </w:rPr>
      </w:pPr>
      <w:r w:rsidRPr="00D84027">
        <w:rPr>
          <w:lang w:val="en-US"/>
        </w:rPr>
        <w:t>Explore mitigation and adaptation strategies, including sustainable healthcare practices.</w:t>
      </w:r>
    </w:p>
    <w:p w:rsidR="00D84027" w:rsidRPr="009600A5" w:rsidRDefault="00D84027" w:rsidP="009600A5">
      <w:pPr>
        <w:spacing w:before="300"/>
        <w:rPr>
          <w:rStyle w:val="Kiemels2"/>
          <w:rFonts w:ascii="Times New Roman" w:eastAsia="Times New Roman" w:hAnsi="Times New Roman" w:cs="Times New Roman"/>
          <w:sz w:val="24"/>
          <w:szCs w:val="24"/>
          <w:lang w:val="en-US" w:eastAsia="hu-HU"/>
        </w:rPr>
      </w:pPr>
      <w:r w:rsidRPr="009600A5">
        <w:rPr>
          <w:rStyle w:val="Kiemels2"/>
          <w:rFonts w:ascii="Times New Roman" w:eastAsia="Times New Roman" w:hAnsi="Times New Roman" w:cs="Times New Roman"/>
          <w:bCs w:val="0"/>
          <w:sz w:val="24"/>
          <w:szCs w:val="24"/>
          <w:lang w:val="en-US" w:eastAsia="hu-HU"/>
        </w:rPr>
        <w:t>Weekly Topics</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16"/>
        <w:gridCol w:w="6313"/>
      </w:tblGrid>
      <w:tr w:rsidR="009600A5" w:rsidRPr="00D84027" w:rsidTr="009600A5">
        <w:trPr>
          <w:tblHeader/>
          <w:tblCellSpacing w:w="15" w:type="dxa"/>
          <w:jc w:val="center"/>
        </w:trPr>
        <w:tc>
          <w:tcPr>
            <w:tcW w:w="871" w:type="dxa"/>
            <w:vAlign w:val="center"/>
            <w:hideMark/>
          </w:tcPr>
          <w:p w:rsidR="009600A5" w:rsidRPr="00D84027" w:rsidRDefault="009600A5" w:rsidP="009600A5">
            <w:pPr>
              <w:jc w:val="center"/>
              <w:rPr>
                <w:b/>
                <w:bCs/>
                <w:lang w:val="en-US"/>
              </w:rPr>
            </w:pPr>
            <w:r w:rsidRPr="00D84027">
              <w:rPr>
                <w:rStyle w:val="Kiemels2"/>
                <w:lang w:val="en-US"/>
              </w:rPr>
              <w:t>Week</w:t>
            </w:r>
          </w:p>
        </w:tc>
        <w:tc>
          <w:tcPr>
            <w:tcW w:w="6268" w:type="dxa"/>
            <w:vAlign w:val="center"/>
            <w:hideMark/>
          </w:tcPr>
          <w:p w:rsidR="009600A5" w:rsidRPr="00D84027" w:rsidRDefault="009600A5">
            <w:pPr>
              <w:jc w:val="center"/>
              <w:rPr>
                <w:b/>
                <w:bCs/>
                <w:lang w:val="en-US"/>
              </w:rPr>
            </w:pPr>
            <w:r w:rsidRPr="00D84027">
              <w:rPr>
                <w:rStyle w:val="Kiemels2"/>
                <w:lang w:val="en-US"/>
              </w:rPr>
              <w:t>Topic</w:t>
            </w:r>
          </w:p>
        </w:tc>
      </w:tr>
      <w:tr w:rsidR="009600A5" w:rsidRPr="00D84027" w:rsidTr="009600A5">
        <w:trPr>
          <w:tblCellSpacing w:w="15" w:type="dxa"/>
          <w:jc w:val="center"/>
        </w:trPr>
        <w:tc>
          <w:tcPr>
            <w:tcW w:w="871" w:type="dxa"/>
            <w:vAlign w:val="center"/>
            <w:hideMark/>
          </w:tcPr>
          <w:p w:rsidR="009600A5" w:rsidRPr="00D84027" w:rsidRDefault="009600A5" w:rsidP="009600A5">
            <w:pPr>
              <w:spacing w:after="0"/>
              <w:jc w:val="center"/>
              <w:rPr>
                <w:lang w:val="en-US"/>
              </w:rPr>
            </w:pPr>
            <w:r w:rsidRPr="00D84027">
              <w:rPr>
                <w:lang w:val="en-US"/>
              </w:rPr>
              <w:t>1</w:t>
            </w:r>
          </w:p>
        </w:tc>
        <w:tc>
          <w:tcPr>
            <w:tcW w:w="6268" w:type="dxa"/>
            <w:vAlign w:val="center"/>
            <w:hideMark/>
          </w:tcPr>
          <w:p w:rsidR="009600A5" w:rsidRPr="00D84027" w:rsidRDefault="009600A5" w:rsidP="009600A5">
            <w:pPr>
              <w:spacing w:after="0"/>
              <w:jc w:val="center"/>
              <w:rPr>
                <w:lang w:val="en-US"/>
              </w:rPr>
            </w:pPr>
            <w:r w:rsidRPr="00D84027">
              <w:rPr>
                <w:lang w:val="en-US"/>
              </w:rPr>
              <w:t>Climate change and effects – general introduction</w:t>
            </w:r>
          </w:p>
        </w:tc>
      </w:tr>
      <w:tr w:rsidR="009600A5" w:rsidRPr="00D84027" w:rsidTr="009600A5">
        <w:trPr>
          <w:tblCellSpacing w:w="15" w:type="dxa"/>
          <w:jc w:val="center"/>
        </w:trPr>
        <w:tc>
          <w:tcPr>
            <w:tcW w:w="871" w:type="dxa"/>
            <w:vAlign w:val="center"/>
            <w:hideMark/>
          </w:tcPr>
          <w:p w:rsidR="009600A5" w:rsidRPr="00D84027" w:rsidRDefault="009600A5" w:rsidP="009600A5">
            <w:pPr>
              <w:spacing w:after="0"/>
              <w:jc w:val="center"/>
              <w:rPr>
                <w:lang w:val="en-US"/>
              </w:rPr>
            </w:pPr>
            <w:r w:rsidRPr="00D84027">
              <w:rPr>
                <w:lang w:val="en-US"/>
              </w:rPr>
              <w:t>2</w:t>
            </w:r>
          </w:p>
        </w:tc>
        <w:tc>
          <w:tcPr>
            <w:tcW w:w="6268" w:type="dxa"/>
            <w:vAlign w:val="center"/>
            <w:hideMark/>
          </w:tcPr>
          <w:p w:rsidR="009600A5" w:rsidRPr="00D84027" w:rsidRDefault="009600A5" w:rsidP="009600A5">
            <w:pPr>
              <w:spacing w:after="0"/>
              <w:jc w:val="center"/>
              <w:rPr>
                <w:lang w:val="en-US"/>
              </w:rPr>
            </w:pPr>
            <w:r w:rsidRPr="00D84027">
              <w:rPr>
                <w:lang w:val="en-US"/>
              </w:rPr>
              <w:t>Thermoregulation, effects of heat, heatstroke</w:t>
            </w:r>
          </w:p>
        </w:tc>
      </w:tr>
      <w:tr w:rsidR="009600A5" w:rsidRPr="00D84027" w:rsidTr="009600A5">
        <w:trPr>
          <w:tblCellSpacing w:w="15" w:type="dxa"/>
          <w:jc w:val="center"/>
        </w:trPr>
        <w:tc>
          <w:tcPr>
            <w:tcW w:w="871" w:type="dxa"/>
            <w:vAlign w:val="center"/>
            <w:hideMark/>
          </w:tcPr>
          <w:p w:rsidR="009600A5" w:rsidRPr="00D84027" w:rsidRDefault="009600A5" w:rsidP="009600A5">
            <w:pPr>
              <w:spacing w:after="0"/>
              <w:jc w:val="center"/>
              <w:rPr>
                <w:lang w:val="en-US"/>
              </w:rPr>
            </w:pPr>
            <w:r w:rsidRPr="00D84027">
              <w:rPr>
                <w:lang w:val="en-US"/>
              </w:rPr>
              <w:t>3</w:t>
            </w:r>
          </w:p>
        </w:tc>
        <w:tc>
          <w:tcPr>
            <w:tcW w:w="6268" w:type="dxa"/>
            <w:vAlign w:val="center"/>
            <w:hideMark/>
          </w:tcPr>
          <w:p w:rsidR="009600A5" w:rsidRPr="00D84027" w:rsidRDefault="009600A5" w:rsidP="009600A5">
            <w:pPr>
              <w:spacing w:after="0"/>
              <w:jc w:val="center"/>
              <w:rPr>
                <w:lang w:val="en-US"/>
              </w:rPr>
            </w:pPr>
            <w:r w:rsidRPr="00D84027">
              <w:rPr>
                <w:lang w:val="en-US"/>
              </w:rPr>
              <w:t>Impact of climate change on cardiovascular diseases (CVD)</w:t>
            </w:r>
          </w:p>
        </w:tc>
      </w:tr>
      <w:tr w:rsidR="009600A5" w:rsidRPr="00D84027" w:rsidTr="009600A5">
        <w:trPr>
          <w:tblCellSpacing w:w="15" w:type="dxa"/>
          <w:jc w:val="center"/>
        </w:trPr>
        <w:tc>
          <w:tcPr>
            <w:tcW w:w="871" w:type="dxa"/>
            <w:vAlign w:val="center"/>
            <w:hideMark/>
          </w:tcPr>
          <w:p w:rsidR="009600A5" w:rsidRPr="00D84027" w:rsidRDefault="009600A5" w:rsidP="009600A5">
            <w:pPr>
              <w:spacing w:after="0"/>
              <w:jc w:val="center"/>
              <w:rPr>
                <w:lang w:val="en-US"/>
              </w:rPr>
            </w:pPr>
            <w:r w:rsidRPr="00D84027">
              <w:rPr>
                <w:lang w:val="en-US"/>
              </w:rPr>
              <w:t>4</w:t>
            </w:r>
          </w:p>
        </w:tc>
        <w:tc>
          <w:tcPr>
            <w:tcW w:w="6268" w:type="dxa"/>
            <w:vAlign w:val="center"/>
            <w:hideMark/>
          </w:tcPr>
          <w:p w:rsidR="009600A5" w:rsidRPr="00D84027" w:rsidRDefault="009600A5" w:rsidP="009600A5">
            <w:pPr>
              <w:spacing w:after="0"/>
              <w:jc w:val="center"/>
              <w:rPr>
                <w:lang w:val="en-US"/>
              </w:rPr>
            </w:pPr>
            <w:r w:rsidRPr="00D84027">
              <w:rPr>
                <w:lang w:val="en-US"/>
              </w:rPr>
              <w:t>Impact of climate change on metabolic disorders</w:t>
            </w:r>
          </w:p>
        </w:tc>
      </w:tr>
      <w:tr w:rsidR="009600A5" w:rsidRPr="00D84027" w:rsidTr="009600A5">
        <w:trPr>
          <w:tblCellSpacing w:w="15" w:type="dxa"/>
          <w:jc w:val="center"/>
        </w:trPr>
        <w:tc>
          <w:tcPr>
            <w:tcW w:w="871" w:type="dxa"/>
            <w:vAlign w:val="center"/>
            <w:hideMark/>
          </w:tcPr>
          <w:p w:rsidR="009600A5" w:rsidRPr="00D84027" w:rsidRDefault="009600A5" w:rsidP="009600A5">
            <w:pPr>
              <w:spacing w:after="0"/>
              <w:jc w:val="center"/>
              <w:rPr>
                <w:lang w:val="en-US"/>
              </w:rPr>
            </w:pPr>
            <w:r w:rsidRPr="00D84027">
              <w:rPr>
                <w:lang w:val="en-US"/>
              </w:rPr>
              <w:t>5</w:t>
            </w:r>
          </w:p>
        </w:tc>
        <w:tc>
          <w:tcPr>
            <w:tcW w:w="6268" w:type="dxa"/>
            <w:vAlign w:val="center"/>
            <w:hideMark/>
          </w:tcPr>
          <w:p w:rsidR="009600A5" w:rsidRPr="00D84027" w:rsidRDefault="009600A5" w:rsidP="009600A5">
            <w:pPr>
              <w:spacing w:after="0"/>
              <w:jc w:val="center"/>
              <w:rPr>
                <w:lang w:val="en-US"/>
              </w:rPr>
            </w:pPr>
            <w:r w:rsidRPr="00D84027">
              <w:rPr>
                <w:lang w:val="en-US"/>
              </w:rPr>
              <w:t>Temperature effects on kidney function and renal diseases</w:t>
            </w:r>
          </w:p>
        </w:tc>
      </w:tr>
      <w:tr w:rsidR="009600A5" w:rsidRPr="00D84027" w:rsidTr="009600A5">
        <w:trPr>
          <w:tblCellSpacing w:w="15" w:type="dxa"/>
          <w:jc w:val="center"/>
        </w:trPr>
        <w:tc>
          <w:tcPr>
            <w:tcW w:w="871" w:type="dxa"/>
            <w:vAlign w:val="center"/>
            <w:hideMark/>
          </w:tcPr>
          <w:p w:rsidR="009600A5" w:rsidRPr="00D84027" w:rsidRDefault="009600A5" w:rsidP="009600A5">
            <w:pPr>
              <w:spacing w:after="0"/>
              <w:jc w:val="center"/>
              <w:rPr>
                <w:lang w:val="en-US"/>
              </w:rPr>
            </w:pPr>
            <w:r w:rsidRPr="00D84027">
              <w:rPr>
                <w:lang w:val="en-US"/>
              </w:rPr>
              <w:t>6</w:t>
            </w:r>
          </w:p>
        </w:tc>
        <w:tc>
          <w:tcPr>
            <w:tcW w:w="6268" w:type="dxa"/>
            <w:vAlign w:val="center"/>
            <w:hideMark/>
          </w:tcPr>
          <w:p w:rsidR="009600A5" w:rsidRPr="00D84027" w:rsidRDefault="009600A5" w:rsidP="009600A5">
            <w:pPr>
              <w:spacing w:after="0"/>
              <w:jc w:val="center"/>
              <w:rPr>
                <w:lang w:val="en-US"/>
              </w:rPr>
            </w:pPr>
            <w:r w:rsidRPr="00D84027">
              <w:rPr>
                <w:lang w:val="en-US"/>
              </w:rPr>
              <w:t>Impact on pregnancy and reproductive health</w:t>
            </w:r>
          </w:p>
        </w:tc>
      </w:tr>
      <w:tr w:rsidR="009600A5" w:rsidRPr="00D84027" w:rsidTr="009600A5">
        <w:trPr>
          <w:tblCellSpacing w:w="15" w:type="dxa"/>
          <w:jc w:val="center"/>
        </w:trPr>
        <w:tc>
          <w:tcPr>
            <w:tcW w:w="871" w:type="dxa"/>
            <w:vAlign w:val="center"/>
            <w:hideMark/>
          </w:tcPr>
          <w:p w:rsidR="009600A5" w:rsidRPr="00D84027" w:rsidRDefault="009600A5" w:rsidP="009600A5">
            <w:pPr>
              <w:spacing w:after="0"/>
              <w:jc w:val="center"/>
              <w:rPr>
                <w:lang w:val="en-US"/>
              </w:rPr>
            </w:pPr>
            <w:r w:rsidRPr="00D84027">
              <w:rPr>
                <w:lang w:val="en-US"/>
              </w:rPr>
              <w:lastRenderedPageBreak/>
              <w:t>7</w:t>
            </w:r>
          </w:p>
        </w:tc>
        <w:tc>
          <w:tcPr>
            <w:tcW w:w="6268" w:type="dxa"/>
            <w:vAlign w:val="center"/>
            <w:hideMark/>
          </w:tcPr>
          <w:p w:rsidR="009600A5" w:rsidRPr="00D84027" w:rsidRDefault="009600A5" w:rsidP="009600A5">
            <w:pPr>
              <w:spacing w:after="0"/>
              <w:jc w:val="center"/>
              <w:rPr>
                <w:lang w:val="en-US"/>
              </w:rPr>
            </w:pPr>
            <w:r w:rsidRPr="00D84027">
              <w:rPr>
                <w:lang w:val="en-US"/>
              </w:rPr>
              <w:t>Mental health, occupational stress, and climate</w:t>
            </w:r>
          </w:p>
        </w:tc>
      </w:tr>
      <w:tr w:rsidR="009600A5" w:rsidRPr="00D84027" w:rsidTr="009600A5">
        <w:trPr>
          <w:tblCellSpacing w:w="15" w:type="dxa"/>
          <w:jc w:val="center"/>
        </w:trPr>
        <w:tc>
          <w:tcPr>
            <w:tcW w:w="871" w:type="dxa"/>
            <w:vAlign w:val="center"/>
            <w:hideMark/>
          </w:tcPr>
          <w:p w:rsidR="009600A5" w:rsidRPr="00D84027" w:rsidRDefault="009600A5" w:rsidP="009600A5">
            <w:pPr>
              <w:spacing w:after="0"/>
              <w:jc w:val="center"/>
              <w:rPr>
                <w:lang w:val="en-US"/>
              </w:rPr>
            </w:pPr>
            <w:r w:rsidRPr="00D84027">
              <w:rPr>
                <w:lang w:val="en-US"/>
              </w:rPr>
              <w:t>8</w:t>
            </w:r>
          </w:p>
        </w:tc>
        <w:tc>
          <w:tcPr>
            <w:tcW w:w="6268" w:type="dxa"/>
            <w:vAlign w:val="center"/>
            <w:hideMark/>
          </w:tcPr>
          <w:p w:rsidR="009600A5" w:rsidRPr="00D84027" w:rsidRDefault="009600A5" w:rsidP="009600A5">
            <w:pPr>
              <w:spacing w:after="0"/>
              <w:jc w:val="center"/>
              <w:rPr>
                <w:lang w:val="en-US"/>
              </w:rPr>
            </w:pPr>
            <w:r w:rsidRPr="00D84027">
              <w:rPr>
                <w:lang w:val="en-US"/>
              </w:rPr>
              <w:t>Pharmacological aspects and medication in a changing climate</w:t>
            </w:r>
          </w:p>
        </w:tc>
      </w:tr>
      <w:tr w:rsidR="009600A5" w:rsidRPr="00D84027" w:rsidTr="009600A5">
        <w:trPr>
          <w:tblCellSpacing w:w="15" w:type="dxa"/>
          <w:jc w:val="center"/>
        </w:trPr>
        <w:tc>
          <w:tcPr>
            <w:tcW w:w="871" w:type="dxa"/>
            <w:vAlign w:val="center"/>
            <w:hideMark/>
          </w:tcPr>
          <w:p w:rsidR="009600A5" w:rsidRPr="00D84027" w:rsidRDefault="009600A5" w:rsidP="009600A5">
            <w:pPr>
              <w:spacing w:after="0"/>
              <w:jc w:val="center"/>
              <w:rPr>
                <w:lang w:val="en-US"/>
              </w:rPr>
            </w:pPr>
            <w:r w:rsidRPr="00D84027">
              <w:rPr>
                <w:lang w:val="en-US"/>
              </w:rPr>
              <w:t>9</w:t>
            </w:r>
          </w:p>
        </w:tc>
        <w:tc>
          <w:tcPr>
            <w:tcW w:w="6268" w:type="dxa"/>
            <w:vAlign w:val="center"/>
            <w:hideMark/>
          </w:tcPr>
          <w:p w:rsidR="009600A5" w:rsidRPr="00D84027" w:rsidRDefault="009600A5" w:rsidP="009600A5">
            <w:pPr>
              <w:spacing w:after="0"/>
              <w:jc w:val="center"/>
              <w:rPr>
                <w:lang w:val="en-US"/>
              </w:rPr>
            </w:pPr>
            <w:r w:rsidRPr="00D84027">
              <w:rPr>
                <w:lang w:val="en-US"/>
              </w:rPr>
              <w:t>Vector-borne diseases and other infections</w:t>
            </w:r>
          </w:p>
        </w:tc>
      </w:tr>
      <w:tr w:rsidR="009600A5" w:rsidRPr="00D84027" w:rsidTr="009600A5">
        <w:trPr>
          <w:tblCellSpacing w:w="15" w:type="dxa"/>
          <w:jc w:val="center"/>
        </w:trPr>
        <w:tc>
          <w:tcPr>
            <w:tcW w:w="871" w:type="dxa"/>
            <w:vAlign w:val="center"/>
            <w:hideMark/>
          </w:tcPr>
          <w:p w:rsidR="009600A5" w:rsidRPr="00D84027" w:rsidRDefault="009600A5" w:rsidP="009600A5">
            <w:pPr>
              <w:spacing w:after="0"/>
              <w:jc w:val="center"/>
              <w:rPr>
                <w:lang w:val="en-US"/>
              </w:rPr>
            </w:pPr>
            <w:r w:rsidRPr="00D84027">
              <w:rPr>
                <w:lang w:val="en-US"/>
              </w:rPr>
              <w:t>10</w:t>
            </w:r>
          </w:p>
        </w:tc>
        <w:tc>
          <w:tcPr>
            <w:tcW w:w="6268" w:type="dxa"/>
            <w:vAlign w:val="center"/>
            <w:hideMark/>
          </w:tcPr>
          <w:p w:rsidR="009600A5" w:rsidRPr="00D84027" w:rsidRDefault="009600A5" w:rsidP="009600A5">
            <w:pPr>
              <w:spacing w:after="0"/>
              <w:jc w:val="center"/>
              <w:rPr>
                <w:lang w:val="en-US"/>
              </w:rPr>
            </w:pPr>
            <w:r w:rsidRPr="00D84027">
              <w:rPr>
                <w:lang w:val="en-US"/>
              </w:rPr>
              <w:t>Waterborne diseases, toxic algae, balneology</w:t>
            </w:r>
          </w:p>
        </w:tc>
      </w:tr>
      <w:tr w:rsidR="009600A5" w:rsidRPr="00D84027" w:rsidTr="009600A5">
        <w:trPr>
          <w:tblCellSpacing w:w="15" w:type="dxa"/>
          <w:jc w:val="center"/>
        </w:trPr>
        <w:tc>
          <w:tcPr>
            <w:tcW w:w="871" w:type="dxa"/>
            <w:vAlign w:val="center"/>
            <w:hideMark/>
          </w:tcPr>
          <w:p w:rsidR="009600A5" w:rsidRPr="00D84027" w:rsidRDefault="009600A5" w:rsidP="009600A5">
            <w:pPr>
              <w:spacing w:after="0"/>
              <w:jc w:val="center"/>
              <w:rPr>
                <w:lang w:val="en-US"/>
              </w:rPr>
            </w:pPr>
            <w:r w:rsidRPr="00D84027">
              <w:rPr>
                <w:lang w:val="en-US"/>
              </w:rPr>
              <w:t>11</w:t>
            </w:r>
          </w:p>
        </w:tc>
        <w:tc>
          <w:tcPr>
            <w:tcW w:w="6268" w:type="dxa"/>
            <w:vAlign w:val="center"/>
            <w:hideMark/>
          </w:tcPr>
          <w:p w:rsidR="009600A5" w:rsidRPr="00D84027" w:rsidRDefault="009600A5" w:rsidP="009600A5">
            <w:pPr>
              <w:spacing w:after="0"/>
              <w:jc w:val="center"/>
              <w:rPr>
                <w:lang w:val="en-US"/>
              </w:rPr>
            </w:pPr>
            <w:r w:rsidRPr="00D84027">
              <w:rPr>
                <w:lang w:val="en-US"/>
              </w:rPr>
              <w:t>Allergy, dermatological effects</w:t>
            </w:r>
          </w:p>
        </w:tc>
      </w:tr>
      <w:tr w:rsidR="009600A5" w:rsidRPr="00D84027" w:rsidTr="009600A5">
        <w:trPr>
          <w:tblCellSpacing w:w="15" w:type="dxa"/>
          <w:jc w:val="center"/>
        </w:trPr>
        <w:tc>
          <w:tcPr>
            <w:tcW w:w="871" w:type="dxa"/>
            <w:vAlign w:val="center"/>
            <w:hideMark/>
          </w:tcPr>
          <w:p w:rsidR="009600A5" w:rsidRPr="00D84027" w:rsidRDefault="009600A5" w:rsidP="009600A5">
            <w:pPr>
              <w:spacing w:after="0"/>
              <w:jc w:val="center"/>
              <w:rPr>
                <w:lang w:val="en-US"/>
              </w:rPr>
            </w:pPr>
            <w:r w:rsidRPr="00D84027">
              <w:rPr>
                <w:lang w:val="en-US"/>
              </w:rPr>
              <w:t>12</w:t>
            </w:r>
          </w:p>
        </w:tc>
        <w:tc>
          <w:tcPr>
            <w:tcW w:w="6268" w:type="dxa"/>
            <w:vAlign w:val="center"/>
            <w:hideMark/>
          </w:tcPr>
          <w:p w:rsidR="009600A5" w:rsidRPr="00D84027" w:rsidRDefault="009600A5" w:rsidP="009600A5">
            <w:pPr>
              <w:spacing w:after="0"/>
              <w:jc w:val="center"/>
              <w:rPr>
                <w:lang w:val="en-US"/>
              </w:rPr>
            </w:pPr>
            <w:r w:rsidRPr="00D84027">
              <w:rPr>
                <w:lang w:val="en-US"/>
              </w:rPr>
              <w:t>Cancer, fungal diseases, mycotoxins</w:t>
            </w:r>
          </w:p>
        </w:tc>
      </w:tr>
      <w:tr w:rsidR="009600A5" w:rsidRPr="00D84027" w:rsidTr="009600A5">
        <w:trPr>
          <w:tblCellSpacing w:w="15" w:type="dxa"/>
          <w:jc w:val="center"/>
        </w:trPr>
        <w:tc>
          <w:tcPr>
            <w:tcW w:w="871" w:type="dxa"/>
            <w:vAlign w:val="center"/>
            <w:hideMark/>
          </w:tcPr>
          <w:p w:rsidR="009600A5" w:rsidRPr="00D84027" w:rsidRDefault="009600A5" w:rsidP="009600A5">
            <w:pPr>
              <w:spacing w:after="0"/>
              <w:jc w:val="center"/>
              <w:rPr>
                <w:lang w:val="en-US"/>
              </w:rPr>
            </w:pPr>
            <w:r w:rsidRPr="00D84027">
              <w:rPr>
                <w:lang w:val="en-US"/>
              </w:rPr>
              <w:t>13</w:t>
            </w:r>
          </w:p>
        </w:tc>
        <w:tc>
          <w:tcPr>
            <w:tcW w:w="6268" w:type="dxa"/>
            <w:vAlign w:val="center"/>
            <w:hideMark/>
          </w:tcPr>
          <w:p w:rsidR="009600A5" w:rsidRPr="00D84027" w:rsidRDefault="009600A5" w:rsidP="009600A5">
            <w:pPr>
              <w:spacing w:after="0"/>
              <w:jc w:val="center"/>
              <w:rPr>
                <w:lang w:val="en-US"/>
              </w:rPr>
            </w:pPr>
            <w:r w:rsidRPr="00D84027">
              <w:rPr>
                <w:lang w:val="en-US"/>
              </w:rPr>
              <w:t>Wildfires, droughts, extreme weather events</w:t>
            </w:r>
          </w:p>
        </w:tc>
      </w:tr>
      <w:tr w:rsidR="009600A5" w:rsidRPr="00D84027" w:rsidTr="009600A5">
        <w:trPr>
          <w:tblCellSpacing w:w="15" w:type="dxa"/>
          <w:jc w:val="center"/>
        </w:trPr>
        <w:tc>
          <w:tcPr>
            <w:tcW w:w="871" w:type="dxa"/>
            <w:vAlign w:val="center"/>
            <w:hideMark/>
          </w:tcPr>
          <w:p w:rsidR="009600A5" w:rsidRPr="00D84027" w:rsidRDefault="009600A5" w:rsidP="009600A5">
            <w:pPr>
              <w:spacing w:after="0"/>
              <w:jc w:val="center"/>
              <w:rPr>
                <w:lang w:val="en-US"/>
              </w:rPr>
            </w:pPr>
            <w:r w:rsidRPr="00D84027">
              <w:rPr>
                <w:lang w:val="en-US"/>
              </w:rPr>
              <w:t>14</w:t>
            </w:r>
          </w:p>
        </w:tc>
        <w:tc>
          <w:tcPr>
            <w:tcW w:w="6268" w:type="dxa"/>
            <w:vAlign w:val="center"/>
            <w:hideMark/>
          </w:tcPr>
          <w:p w:rsidR="009600A5" w:rsidRPr="00D84027" w:rsidRDefault="009600A5" w:rsidP="009600A5">
            <w:pPr>
              <w:spacing w:after="0"/>
              <w:jc w:val="center"/>
              <w:rPr>
                <w:lang w:val="en-US"/>
              </w:rPr>
            </w:pPr>
            <w:r w:rsidRPr="00D84027">
              <w:rPr>
                <w:lang w:val="en-US"/>
              </w:rPr>
              <w:t>Greening healthcare, adaptation, inequalities</w:t>
            </w:r>
          </w:p>
        </w:tc>
      </w:tr>
    </w:tbl>
    <w:p w:rsidR="005131A4" w:rsidRDefault="005131A4" w:rsidP="005131A4">
      <w:pPr>
        <w:pStyle w:val="NormlWeb"/>
        <w:spacing w:before="0" w:beforeAutospacing="0" w:afterAutospacing="0"/>
        <w:rPr>
          <w:b/>
          <w:lang w:val="en-US"/>
        </w:rPr>
      </w:pPr>
    </w:p>
    <w:p w:rsidR="005131A4" w:rsidRPr="005131A4" w:rsidRDefault="005131A4" w:rsidP="005131A4">
      <w:pPr>
        <w:pStyle w:val="NormlWeb"/>
        <w:spacing w:before="0" w:beforeAutospacing="0" w:afterAutospacing="0"/>
        <w:rPr>
          <w:b/>
          <w:lang w:val="en-US"/>
        </w:rPr>
      </w:pPr>
      <w:r w:rsidRPr="005131A4">
        <w:rPr>
          <w:b/>
          <w:lang w:val="en-US"/>
        </w:rPr>
        <w:t xml:space="preserve">Assessment </w:t>
      </w:r>
      <w:r w:rsidRPr="005131A4">
        <w:rPr>
          <w:i/>
          <w:iCs/>
          <w:lang w:val="en-US"/>
        </w:rPr>
        <w:t>(optional – can be tailored)</w:t>
      </w:r>
    </w:p>
    <w:p w:rsidR="00D84027" w:rsidRPr="00D84027" w:rsidRDefault="00D84027" w:rsidP="005131A4">
      <w:pPr>
        <w:pStyle w:val="NormlWeb"/>
        <w:spacing w:before="0" w:beforeAutospacing="0" w:after="200" w:afterAutospacing="0"/>
        <w:rPr>
          <w:lang w:val="en-US"/>
        </w:rPr>
      </w:pPr>
      <w:r w:rsidRPr="00D84027">
        <w:rPr>
          <w:lang w:val="en-US"/>
        </w:rPr>
        <w:t>Class participation and discussions: 20%</w:t>
      </w:r>
    </w:p>
    <w:p w:rsidR="00D84027" w:rsidRPr="00D84027" w:rsidRDefault="00D84027" w:rsidP="005131A4">
      <w:pPr>
        <w:pStyle w:val="NormlWeb"/>
        <w:spacing w:before="0" w:beforeAutospacing="0" w:after="200" w:afterAutospacing="0"/>
        <w:rPr>
          <w:lang w:val="en-US"/>
        </w:rPr>
      </w:pPr>
      <w:r w:rsidRPr="00D84027">
        <w:rPr>
          <w:lang w:val="en-US"/>
        </w:rPr>
        <w:t>Midterm quiz or case reflection: 30%</w:t>
      </w:r>
    </w:p>
    <w:p w:rsidR="00D84027" w:rsidRDefault="00D84027" w:rsidP="005131A4">
      <w:pPr>
        <w:pStyle w:val="NormlWeb"/>
        <w:spacing w:before="0" w:beforeAutospacing="0" w:after="200" w:afterAutospacing="0"/>
        <w:rPr>
          <w:lang w:val="en-US"/>
        </w:rPr>
      </w:pPr>
      <w:r w:rsidRPr="00D84027">
        <w:rPr>
          <w:lang w:val="en-US"/>
        </w:rPr>
        <w:t>Final assignment/presentation: 50%</w:t>
      </w:r>
    </w:p>
    <w:p w:rsidR="00D84027" w:rsidRPr="00D84027" w:rsidRDefault="00D84027" w:rsidP="005131A4">
      <w:pPr>
        <w:pStyle w:val="NormlWeb"/>
        <w:spacing w:before="400" w:beforeAutospacing="0" w:after="0" w:afterAutospacing="0"/>
        <w:rPr>
          <w:b/>
          <w:lang w:val="en-US"/>
        </w:rPr>
      </w:pPr>
      <w:r w:rsidRPr="00D84027">
        <w:rPr>
          <w:b/>
          <w:lang w:val="en-US"/>
        </w:rPr>
        <w:t>Literature</w:t>
      </w:r>
    </w:p>
    <w:p w:rsidR="00D84027" w:rsidRPr="00D84027" w:rsidRDefault="00D84027" w:rsidP="005131A4">
      <w:pPr>
        <w:pStyle w:val="NormlWeb"/>
        <w:spacing w:beforeAutospacing="0" w:after="0" w:afterAutospacing="0"/>
        <w:rPr>
          <w:lang w:val="en-US"/>
        </w:rPr>
      </w:pPr>
      <w:r>
        <w:rPr>
          <w:lang w:val="en-US"/>
        </w:rPr>
        <w:t xml:space="preserve">Find at the </w:t>
      </w:r>
      <w:proofErr w:type="spellStart"/>
      <w:r>
        <w:rPr>
          <w:lang w:val="en-US"/>
        </w:rPr>
        <w:t>and</w:t>
      </w:r>
      <w:proofErr w:type="spellEnd"/>
      <w:r>
        <w:rPr>
          <w:lang w:val="en-US"/>
        </w:rPr>
        <w:t xml:space="preserve"> of the learning materials.</w:t>
      </w:r>
    </w:p>
    <w:sectPr w:rsidR="00D84027" w:rsidRPr="00D84027" w:rsidSect="00A96BF8">
      <w:headerReference w:type="default" r:id="rId7"/>
      <w:footerReference w:type="default" r:id="rId8"/>
      <w:pgSz w:w="11906" w:h="16838"/>
      <w:pgMar w:top="1417" w:right="1417" w:bottom="1417"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A31" w:rsidRDefault="00E83A31" w:rsidP="00047C9B">
      <w:pPr>
        <w:spacing w:after="0" w:line="240" w:lineRule="auto"/>
      </w:pPr>
      <w:r>
        <w:separator/>
      </w:r>
    </w:p>
  </w:endnote>
  <w:endnote w:type="continuationSeparator" w:id="0">
    <w:p w:rsidR="00E83A31" w:rsidRDefault="00E83A31" w:rsidP="00047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35B" w:rsidRDefault="00B3635B" w:rsidP="00047C9B">
    <w:pPr>
      <w:tabs>
        <w:tab w:val="left" w:pos="8085"/>
      </w:tabs>
      <w:autoSpaceDE w:val="0"/>
      <w:autoSpaceDN w:val="0"/>
      <w:adjustRightInd w:val="0"/>
      <w:spacing w:after="0"/>
      <w:jc w:val="center"/>
      <w:rPr>
        <w:rFonts w:cs="Tahoma"/>
        <w:i/>
        <w:iCs/>
        <w:lang w:val="en-SG"/>
      </w:rPr>
    </w:pPr>
    <w:r>
      <w:rPr>
        <w:noProof/>
        <w:lang w:val="en-US"/>
      </w:rPr>
      <w:drawing>
        <wp:inline distT="0" distB="0" distL="0" distR="0" wp14:anchorId="6C98FC42" wp14:editId="44125428">
          <wp:extent cx="949983" cy="474992"/>
          <wp:effectExtent l="19050" t="19050" r="21590" b="2032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imateMED-logo-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0502" cy="495252"/>
                  </a:xfrm>
                  <a:prstGeom prst="rect">
                    <a:avLst/>
                  </a:prstGeom>
                  <a:ln>
                    <a:solidFill>
                      <a:schemeClr val="bg1">
                        <a:lumMod val="75000"/>
                      </a:schemeClr>
                    </a:solidFill>
                  </a:ln>
                </pic:spPr>
              </pic:pic>
            </a:graphicData>
          </a:graphic>
        </wp:inline>
      </w:drawing>
    </w:r>
  </w:p>
  <w:p w:rsidR="00B3635B" w:rsidRPr="00727E1E" w:rsidRDefault="00B3635B" w:rsidP="00047C9B">
    <w:pPr>
      <w:tabs>
        <w:tab w:val="left" w:pos="8085"/>
      </w:tabs>
      <w:autoSpaceDE w:val="0"/>
      <w:autoSpaceDN w:val="0"/>
      <w:adjustRightInd w:val="0"/>
      <w:spacing w:after="0"/>
      <w:jc w:val="center"/>
      <w:rPr>
        <w:rFonts w:cs="Tahoma"/>
        <w:i/>
        <w:iCs/>
        <w:sz w:val="16"/>
        <w:szCs w:val="16"/>
        <w:lang w:val="en-SG"/>
      </w:rPr>
    </w:pPr>
    <w:r w:rsidRPr="00727E1E">
      <w:rPr>
        <w:rFonts w:cstheme="minorHAnsi"/>
        <w:bCs/>
        <w:i/>
        <w:sz w:val="16"/>
        <w:szCs w:val="16"/>
        <w:lang w:val="en-US"/>
      </w:rPr>
      <w:t xml:space="preserve">Ref.: </w:t>
    </w:r>
    <w:r w:rsidRPr="00727E1E">
      <w:rPr>
        <w:rFonts w:cstheme="minorHAnsi"/>
        <w:i/>
        <w:sz w:val="16"/>
        <w:szCs w:val="16"/>
      </w:rPr>
      <w:t>2021-2-HU01-KA220-HED-000050972</w:t>
    </w:r>
  </w:p>
  <w:p w:rsidR="00B3635B" w:rsidRDefault="00B3635B" w:rsidP="00047C9B">
    <w:pPr>
      <w:autoSpaceDE w:val="0"/>
      <w:autoSpaceDN w:val="0"/>
      <w:adjustRightInd w:val="0"/>
      <w:spacing w:after="0"/>
      <w:jc w:val="center"/>
      <w:rPr>
        <w:rFonts w:cs="Tahoma"/>
        <w:i/>
        <w:iCs/>
        <w:sz w:val="16"/>
        <w:szCs w:val="16"/>
        <w:lang w:val="en-SG"/>
      </w:rPr>
    </w:pPr>
    <w:hyperlink r:id="rId2" w:history="1">
      <w:r w:rsidRPr="00FA4BF8">
        <w:rPr>
          <w:rStyle w:val="Hiperhivatkozs"/>
          <w:rFonts w:cs="Tahoma"/>
          <w:i/>
          <w:iCs/>
          <w:sz w:val="16"/>
          <w:szCs w:val="16"/>
          <w:lang w:val="en-SG"/>
        </w:rPr>
        <w:t>www.climatemed.eu</w:t>
      </w:r>
    </w:hyperlink>
  </w:p>
  <w:p w:rsidR="00B3635B" w:rsidRDefault="00B3635B" w:rsidP="00047C9B">
    <w:pPr>
      <w:autoSpaceDE w:val="0"/>
      <w:autoSpaceDN w:val="0"/>
      <w:adjustRightInd w:val="0"/>
      <w:spacing w:after="0"/>
      <w:jc w:val="center"/>
      <w:rPr>
        <w:rFonts w:cs="Tahoma"/>
        <w:i/>
        <w:iCs/>
        <w:sz w:val="16"/>
        <w:szCs w:val="16"/>
        <w:lang w:val="en-SG"/>
      </w:rPr>
    </w:pPr>
  </w:p>
  <w:p w:rsidR="00B3635B" w:rsidRDefault="00B3635B" w:rsidP="00047C9B">
    <w:pPr>
      <w:autoSpaceDE w:val="0"/>
      <w:autoSpaceDN w:val="0"/>
      <w:adjustRightInd w:val="0"/>
      <w:spacing w:after="0"/>
      <w:jc w:val="center"/>
      <w:rPr>
        <w:rFonts w:cs="Tahoma"/>
        <w:i/>
        <w:iCs/>
        <w:sz w:val="16"/>
        <w:szCs w:val="16"/>
        <w:lang w:val="en-SG"/>
      </w:rPr>
    </w:pPr>
  </w:p>
  <w:p w:rsidR="00B3635B" w:rsidRPr="00727E1E" w:rsidRDefault="00B3635B" w:rsidP="00047C9B">
    <w:pPr>
      <w:autoSpaceDE w:val="0"/>
      <w:autoSpaceDN w:val="0"/>
      <w:adjustRightInd w:val="0"/>
      <w:spacing w:after="0"/>
      <w:jc w:val="center"/>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A31" w:rsidRDefault="00E83A31" w:rsidP="00047C9B">
      <w:pPr>
        <w:spacing w:after="0" w:line="240" w:lineRule="auto"/>
      </w:pPr>
      <w:r>
        <w:separator/>
      </w:r>
    </w:p>
  </w:footnote>
  <w:footnote w:type="continuationSeparator" w:id="0">
    <w:p w:rsidR="00E83A31" w:rsidRDefault="00E83A31" w:rsidP="00047C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Rcsostblzat"/>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4"/>
      <w:gridCol w:w="3533"/>
    </w:tblGrid>
    <w:tr w:rsidR="00B3635B" w:rsidRPr="00A96BF8" w:rsidTr="00727E1E">
      <w:tc>
        <w:tcPr>
          <w:tcW w:w="5534" w:type="dxa"/>
        </w:tcPr>
        <w:p w:rsidR="00B3635B" w:rsidRPr="00A96BF8" w:rsidRDefault="00B3635B" w:rsidP="00727E1E">
          <w:pPr>
            <w:pStyle w:val="lfej"/>
          </w:pPr>
          <w:r w:rsidRPr="00A96BF8">
            <w:rPr>
              <w:rFonts w:ascii="Times New Roman"/>
              <w:noProof/>
              <w:position w:val="-17"/>
              <w:sz w:val="20"/>
              <w:lang w:val="en-US"/>
            </w:rPr>
            <w:drawing>
              <wp:inline distT="0" distB="0" distL="0" distR="0" wp14:anchorId="1C89C603" wp14:editId="6C7E158A">
                <wp:extent cx="1267968" cy="361488"/>
                <wp:effectExtent l="0" t="0" r="8890" b="635"/>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394065" cy="397437"/>
                        </a:xfrm>
                        <a:prstGeom prst="rect">
                          <a:avLst/>
                        </a:prstGeom>
                      </pic:spPr>
                    </pic:pic>
                  </a:graphicData>
                </a:graphic>
              </wp:inline>
            </w:drawing>
          </w:r>
          <w:r>
            <w:rPr>
              <w:bCs/>
              <w:i/>
              <w:sz w:val="16"/>
              <w:szCs w:val="16"/>
              <w:lang w:val="en-US"/>
            </w:rPr>
            <w:br/>
          </w:r>
          <w:r w:rsidRPr="00727E1E">
            <w:rPr>
              <w:bCs/>
              <w:i/>
              <w:sz w:val="16"/>
              <w:szCs w:val="16"/>
              <w:lang w:val="en-US"/>
            </w:rPr>
            <w:t>CLIMATEMED – Knowledge about climate change’s health impacts starts here</w:t>
          </w:r>
        </w:p>
      </w:tc>
      <w:tc>
        <w:tcPr>
          <w:tcW w:w="3533" w:type="dxa"/>
          <w:vAlign w:val="center"/>
        </w:tcPr>
        <w:p w:rsidR="00B3635B" w:rsidRPr="00727E1E" w:rsidRDefault="00B3635B" w:rsidP="00727E1E">
          <w:pPr>
            <w:pStyle w:val="lfej"/>
            <w:jc w:val="right"/>
            <w:rPr>
              <w:bCs/>
              <w:i/>
              <w:sz w:val="18"/>
              <w:szCs w:val="18"/>
            </w:rPr>
          </w:pPr>
        </w:p>
      </w:tc>
    </w:tr>
  </w:tbl>
  <w:p w:rsidR="00B3635B" w:rsidRPr="00727E1E" w:rsidRDefault="00B3635B" w:rsidP="00727E1E">
    <w:pPr>
      <w:pStyle w:val="lfej"/>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76DBE"/>
    <w:multiLevelType w:val="multilevel"/>
    <w:tmpl w:val="AA32C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C80572"/>
    <w:multiLevelType w:val="hybridMultilevel"/>
    <w:tmpl w:val="563CCEB0"/>
    <w:lvl w:ilvl="0" w:tplc="FA16AF94">
      <w:start w:val="1"/>
      <w:numFmt w:val="bullet"/>
      <w:lvlText w:val=""/>
      <w:lvlJc w:val="left"/>
      <w:pPr>
        <w:ind w:left="720" w:hanging="360"/>
      </w:pPr>
      <w:rPr>
        <w:rFonts w:ascii="Symbol" w:hAnsi="Symbol" w:hint="default"/>
      </w:rPr>
    </w:lvl>
    <w:lvl w:ilvl="1" w:tplc="FA16AF94">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75004984"/>
    <w:multiLevelType w:val="multilevel"/>
    <w:tmpl w:val="31D40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C9B"/>
    <w:rsid w:val="00012C3D"/>
    <w:rsid w:val="00047C9B"/>
    <w:rsid w:val="001063C9"/>
    <w:rsid w:val="00140C05"/>
    <w:rsid w:val="0035702F"/>
    <w:rsid w:val="00412D03"/>
    <w:rsid w:val="00424A04"/>
    <w:rsid w:val="00430E79"/>
    <w:rsid w:val="005131A4"/>
    <w:rsid w:val="005B4485"/>
    <w:rsid w:val="005D1C06"/>
    <w:rsid w:val="00727E1E"/>
    <w:rsid w:val="007E1D0A"/>
    <w:rsid w:val="007E774E"/>
    <w:rsid w:val="00841C90"/>
    <w:rsid w:val="008E4FB2"/>
    <w:rsid w:val="008E59DB"/>
    <w:rsid w:val="009222B5"/>
    <w:rsid w:val="00932937"/>
    <w:rsid w:val="00941F55"/>
    <w:rsid w:val="00953790"/>
    <w:rsid w:val="009600A5"/>
    <w:rsid w:val="00975978"/>
    <w:rsid w:val="009A468E"/>
    <w:rsid w:val="009B3CCC"/>
    <w:rsid w:val="00A12007"/>
    <w:rsid w:val="00A2644C"/>
    <w:rsid w:val="00A52232"/>
    <w:rsid w:val="00A96BF8"/>
    <w:rsid w:val="00B3635B"/>
    <w:rsid w:val="00B52447"/>
    <w:rsid w:val="00D07E3C"/>
    <w:rsid w:val="00D428BA"/>
    <w:rsid w:val="00D529DD"/>
    <w:rsid w:val="00D567F6"/>
    <w:rsid w:val="00D84027"/>
    <w:rsid w:val="00E01188"/>
    <w:rsid w:val="00E212A9"/>
    <w:rsid w:val="00E83A31"/>
    <w:rsid w:val="00ED618E"/>
    <w:rsid w:val="00F20D52"/>
    <w:rsid w:val="00F72C31"/>
    <w:rsid w:val="00FD1C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8B4904"/>
  <w15:chartTrackingRefBased/>
  <w15:docId w15:val="{943D8906-739D-4D9D-A4A4-551AAE04D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link w:val="Cmsor1Char"/>
    <w:uiPriority w:val="9"/>
    <w:qFormat/>
    <w:rsid w:val="00953790"/>
    <w:pPr>
      <w:spacing w:before="360" w:after="0" w:line="360" w:lineRule="auto"/>
      <w:ind w:right="567"/>
      <w:outlineLvl w:val="0"/>
    </w:pPr>
    <w:rPr>
      <w:rFonts w:ascii="Times New Roman" w:eastAsia="Times New Roman" w:hAnsi="Times New Roman" w:cs="Times New Roman"/>
      <w:b/>
      <w:bCs/>
      <w:kern w:val="36"/>
      <w:sz w:val="32"/>
      <w:szCs w:val="48"/>
      <w:lang w:eastAsia="hu-HU"/>
    </w:rPr>
  </w:style>
  <w:style w:type="paragraph" w:styleId="Cmsor2">
    <w:name w:val="heading 2"/>
    <w:basedOn w:val="Norml"/>
    <w:next w:val="Norml"/>
    <w:link w:val="Cmsor2Char"/>
    <w:uiPriority w:val="9"/>
    <w:semiHidden/>
    <w:unhideWhenUsed/>
    <w:qFormat/>
    <w:rsid w:val="00D8402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semiHidden/>
    <w:unhideWhenUsed/>
    <w:qFormat/>
    <w:rsid w:val="00D8402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953790"/>
    <w:rPr>
      <w:rFonts w:ascii="Times New Roman" w:eastAsia="Times New Roman" w:hAnsi="Times New Roman" w:cs="Times New Roman"/>
      <w:b/>
      <w:bCs/>
      <w:kern w:val="36"/>
      <w:sz w:val="32"/>
      <w:szCs w:val="48"/>
      <w:lang w:eastAsia="hu-HU"/>
    </w:rPr>
  </w:style>
  <w:style w:type="paragraph" w:customStyle="1" w:styleId="Default">
    <w:name w:val="Default"/>
    <w:rsid w:val="00047C9B"/>
    <w:pPr>
      <w:autoSpaceDE w:val="0"/>
      <w:autoSpaceDN w:val="0"/>
      <w:adjustRightInd w:val="0"/>
      <w:spacing w:after="0" w:line="240" w:lineRule="auto"/>
    </w:pPr>
    <w:rPr>
      <w:rFonts w:ascii="Times New Roman" w:hAnsi="Times New Roman" w:cs="Times New Roman"/>
      <w:color w:val="000000"/>
      <w:sz w:val="24"/>
      <w:szCs w:val="24"/>
      <w:lang w:val="de-DE"/>
    </w:rPr>
  </w:style>
  <w:style w:type="paragraph" w:styleId="lfej">
    <w:name w:val="header"/>
    <w:basedOn w:val="Norml"/>
    <w:link w:val="lfejChar"/>
    <w:uiPriority w:val="99"/>
    <w:unhideWhenUsed/>
    <w:rsid w:val="00047C9B"/>
    <w:pPr>
      <w:tabs>
        <w:tab w:val="center" w:pos="4536"/>
        <w:tab w:val="right" w:pos="9072"/>
      </w:tabs>
      <w:spacing w:after="0" w:line="240" w:lineRule="auto"/>
    </w:pPr>
  </w:style>
  <w:style w:type="character" w:customStyle="1" w:styleId="lfejChar">
    <w:name w:val="Élőfej Char"/>
    <w:basedOn w:val="Bekezdsalapbettpusa"/>
    <w:link w:val="lfej"/>
    <w:uiPriority w:val="99"/>
    <w:rsid w:val="00047C9B"/>
  </w:style>
  <w:style w:type="paragraph" w:styleId="llb">
    <w:name w:val="footer"/>
    <w:basedOn w:val="Norml"/>
    <w:link w:val="llbChar"/>
    <w:uiPriority w:val="99"/>
    <w:unhideWhenUsed/>
    <w:rsid w:val="00047C9B"/>
    <w:pPr>
      <w:tabs>
        <w:tab w:val="center" w:pos="4536"/>
        <w:tab w:val="right" w:pos="9072"/>
      </w:tabs>
      <w:spacing w:after="0" w:line="240" w:lineRule="auto"/>
    </w:pPr>
  </w:style>
  <w:style w:type="character" w:customStyle="1" w:styleId="llbChar">
    <w:name w:val="Élőláb Char"/>
    <w:basedOn w:val="Bekezdsalapbettpusa"/>
    <w:link w:val="llb"/>
    <w:uiPriority w:val="99"/>
    <w:rsid w:val="00047C9B"/>
  </w:style>
  <w:style w:type="paragraph" w:styleId="Listaszerbekezds">
    <w:name w:val="List Paragraph"/>
    <w:basedOn w:val="Norml"/>
    <w:uiPriority w:val="34"/>
    <w:qFormat/>
    <w:rsid w:val="00975978"/>
    <w:pPr>
      <w:ind w:left="720"/>
      <w:contextualSpacing/>
    </w:pPr>
    <w:rPr>
      <w:lang w:val="en-US"/>
    </w:rPr>
  </w:style>
  <w:style w:type="table" w:styleId="Rcsostblzat">
    <w:name w:val="Table Grid"/>
    <w:basedOn w:val="Normltblzat"/>
    <w:uiPriority w:val="39"/>
    <w:rsid w:val="009759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727E1E"/>
    <w:rPr>
      <w:color w:val="0563C1" w:themeColor="hyperlink"/>
      <w:u w:val="single"/>
    </w:rPr>
  </w:style>
  <w:style w:type="character" w:styleId="Kiemels">
    <w:name w:val="Emphasis"/>
    <w:basedOn w:val="Bekezdsalapbettpusa"/>
    <w:uiPriority w:val="20"/>
    <w:qFormat/>
    <w:rsid w:val="008E59DB"/>
    <w:rPr>
      <w:i/>
      <w:iCs/>
    </w:rPr>
  </w:style>
  <w:style w:type="paragraph" w:styleId="NormlWeb">
    <w:name w:val="Normal (Web)"/>
    <w:basedOn w:val="Norml"/>
    <w:uiPriority w:val="99"/>
    <w:unhideWhenUsed/>
    <w:rsid w:val="00B52447"/>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1063C9"/>
    <w:rPr>
      <w:b/>
      <w:bCs/>
    </w:rPr>
  </w:style>
  <w:style w:type="character" w:customStyle="1" w:styleId="Cmsor2Char">
    <w:name w:val="Címsor 2 Char"/>
    <w:basedOn w:val="Bekezdsalapbettpusa"/>
    <w:link w:val="Cmsor2"/>
    <w:uiPriority w:val="9"/>
    <w:semiHidden/>
    <w:rsid w:val="00D84027"/>
    <w:rPr>
      <w:rFonts w:asciiTheme="majorHAnsi" w:eastAsiaTheme="majorEastAsia" w:hAnsiTheme="majorHAnsi" w:cstheme="majorBidi"/>
      <w:color w:val="2E74B5" w:themeColor="accent1" w:themeShade="BF"/>
      <w:sz w:val="26"/>
      <w:szCs w:val="26"/>
    </w:rPr>
  </w:style>
  <w:style w:type="character" w:customStyle="1" w:styleId="Cmsor3Char">
    <w:name w:val="Címsor 3 Char"/>
    <w:basedOn w:val="Bekezdsalapbettpusa"/>
    <w:link w:val="Cmsor3"/>
    <w:uiPriority w:val="9"/>
    <w:semiHidden/>
    <w:rsid w:val="00D84027"/>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80836">
      <w:bodyDiv w:val="1"/>
      <w:marLeft w:val="0"/>
      <w:marRight w:val="0"/>
      <w:marTop w:val="0"/>
      <w:marBottom w:val="0"/>
      <w:divBdr>
        <w:top w:val="none" w:sz="0" w:space="0" w:color="auto"/>
        <w:left w:val="none" w:sz="0" w:space="0" w:color="auto"/>
        <w:bottom w:val="none" w:sz="0" w:space="0" w:color="auto"/>
        <w:right w:val="none" w:sz="0" w:space="0" w:color="auto"/>
      </w:divBdr>
    </w:div>
    <w:div w:id="639460415">
      <w:bodyDiv w:val="1"/>
      <w:marLeft w:val="0"/>
      <w:marRight w:val="0"/>
      <w:marTop w:val="0"/>
      <w:marBottom w:val="0"/>
      <w:divBdr>
        <w:top w:val="none" w:sz="0" w:space="0" w:color="auto"/>
        <w:left w:val="none" w:sz="0" w:space="0" w:color="auto"/>
        <w:bottom w:val="none" w:sz="0" w:space="0" w:color="auto"/>
        <w:right w:val="none" w:sz="0" w:space="0" w:color="auto"/>
      </w:divBdr>
    </w:div>
    <w:div w:id="990058831">
      <w:bodyDiv w:val="1"/>
      <w:marLeft w:val="0"/>
      <w:marRight w:val="0"/>
      <w:marTop w:val="0"/>
      <w:marBottom w:val="0"/>
      <w:divBdr>
        <w:top w:val="none" w:sz="0" w:space="0" w:color="auto"/>
        <w:left w:val="none" w:sz="0" w:space="0" w:color="auto"/>
        <w:bottom w:val="none" w:sz="0" w:space="0" w:color="auto"/>
        <w:right w:val="none" w:sz="0" w:space="0" w:color="auto"/>
      </w:divBdr>
    </w:div>
    <w:div w:id="1207840338">
      <w:bodyDiv w:val="1"/>
      <w:marLeft w:val="0"/>
      <w:marRight w:val="0"/>
      <w:marTop w:val="0"/>
      <w:marBottom w:val="0"/>
      <w:divBdr>
        <w:top w:val="none" w:sz="0" w:space="0" w:color="auto"/>
        <w:left w:val="none" w:sz="0" w:space="0" w:color="auto"/>
        <w:bottom w:val="none" w:sz="0" w:space="0" w:color="auto"/>
        <w:right w:val="none" w:sz="0" w:space="0" w:color="auto"/>
      </w:divBdr>
    </w:div>
    <w:div w:id="1538421566">
      <w:bodyDiv w:val="1"/>
      <w:marLeft w:val="0"/>
      <w:marRight w:val="0"/>
      <w:marTop w:val="0"/>
      <w:marBottom w:val="0"/>
      <w:divBdr>
        <w:top w:val="none" w:sz="0" w:space="0" w:color="auto"/>
        <w:left w:val="none" w:sz="0" w:space="0" w:color="auto"/>
        <w:bottom w:val="none" w:sz="0" w:space="0" w:color="auto"/>
        <w:right w:val="none" w:sz="0" w:space="0" w:color="auto"/>
      </w:divBdr>
      <w:divsChild>
        <w:div w:id="2031178218">
          <w:marLeft w:val="0"/>
          <w:marRight w:val="0"/>
          <w:marTop w:val="0"/>
          <w:marBottom w:val="0"/>
          <w:divBdr>
            <w:top w:val="none" w:sz="0" w:space="0" w:color="auto"/>
            <w:left w:val="none" w:sz="0" w:space="0" w:color="auto"/>
            <w:bottom w:val="none" w:sz="0" w:space="0" w:color="auto"/>
            <w:right w:val="none" w:sz="0" w:space="0" w:color="auto"/>
          </w:divBdr>
        </w:div>
        <w:div w:id="169411923">
          <w:marLeft w:val="0"/>
          <w:marRight w:val="0"/>
          <w:marTop w:val="0"/>
          <w:marBottom w:val="0"/>
          <w:divBdr>
            <w:top w:val="none" w:sz="0" w:space="0" w:color="auto"/>
            <w:left w:val="none" w:sz="0" w:space="0" w:color="auto"/>
            <w:bottom w:val="none" w:sz="0" w:space="0" w:color="auto"/>
            <w:right w:val="none" w:sz="0" w:space="0" w:color="auto"/>
          </w:divBdr>
          <w:divsChild>
            <w:div w:id="51088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climatemed.eu"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61C38D1052217A4B942E73134FEF8369" ma:contentTypeVersion="12" ma:contentTypeDescription="Új dokumentum létrehozása." ma:contentTypeScope="" ma:versionID="c4cb741b39fb2f9efa675cf951213ef6">
  <xsd:schema xmlns:xsd="http://www.w3.org/2001/XMLSchema" xmlns:xs="http://www.w3.org/2001/XMLSchema" xmlns:p="http://schemas.microsoft.com/office/2006/metadata/properties" xmlns:ns2="ac5bba62-9a53-42e3-8e34-ca49e24f4fe7" xmlns:ns3="f7135bf7-eb40-4ed2-ab58-bb2a8f06b6aa" targetNamespace="http://schemas.microsoft.com/office/2006/metadata/properties" ma:root="true" ma:fieldsID="ab6f93e604749640a8b49707685d73ea" ns2:_="" ns3:_="">
    <xsd:import namespace="ac5bba62-9a53-42e3-8e34-ca49e24f4fe7"/>
    <xsd:import namespace="f7135bf7-eb40-4ed2-ab58-bb2a8f06b6a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bba62-9a53-42e3-8e34-ca49e24f4f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Képcímkék" ma:readOnly="false" ma:fieldId="{5cf76f15-5ced-4ddc-b409-7134ff3c332f}" ma:taxonomyMulti="true" ma:sspId="c5924412-c5b0-41bf-b9da-348a75561e2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135bf7-eb40-4ed2-ab58-bb2a8f06b6a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e99a9af-e07c-4003-9765-209faae482e6}" ma:internalName="TaxCatchAll" ma:showField="CatchAllData" ma:web="f7135bf7-eb40-4ed2-ab58-bb2a8f06b6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7135bf7-eb40-4ed2-ab58-bb2a8f06b6aa" xsi:nil="true"/>
    <lcf76f155ced4ddcb4097134ff3c332f xmlns="ac5bba62-9a53-42e3-8e34-ca49e24f4fe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17E407-5902-47C7-B9C8-C4DE5B14C7BC}"/>
</file>

<file path=customXml/itemProps2.xml><?xml version="1.0" encoding="utf-8"?>
<ds:datastoreItem xmlns:ds="http://schemas.openxmlformats.org/officeDocument/2006/customXml" ds:itemID="{5C7224D1-DF0F-4FF6-8991-7B61CA8E4CD5}"/>
</file>

<file path=customXml/itemProps3.xml><?xml version="1.0" encoding="utf-8"?>
<ds:datastoreItem xmlns:ds="http://schemas.openxmlformats.org/officeDocument/2006/customXml" ds:itemID="{43282691-02E2-4D9E-8ACA-2894D18A31CC}"/>
</file>

<file path=docProps/app.xml><?xml version="1.0" encoding="utf-8"?>
<Properties xmlns="http://schemas.openxmlformats.org/officeDocument/2006/extended-properties" xmlns:vt="http://schemas.openxmlformats.org/officeDocument/2006/docPropsVTypes">
  <Template>Normal</Template>
  <TotalTime>59</TotalTime>
  <Pages>2</Pages>
  <Words>313</Words>
  <Characters>1785</Characters>
  <Application>Microsoft Office Word</Application>
  <DocSecurity>0</DocSecurity>
  <Lines>14</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Girán János</dc:creator>
  <cp:keywords/>
  <dc:description/>
  <cp:lastModifiedBy>Giran</cp:lastModifiedBy>
  <cp:revision>6</cp:revision>
  <dcterms:created xsi:type="dcterms:W3CDTF">2025-04-16T10:21:00Z</dcterms:created>
  <dcterms:modified xsi:type="dcterms:W3CDTF">2025-04-16T11:20:00Z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0x01010061C38D1052217A4B942E73134FEF8369</vt:lpwstr>
  </property>
</Properties>
</file>